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60"/>
        <w:jc w:val="start"/>
      </w:pPr>
      <w:r>
        <w:rPr>
          <w:rFonts w:ascii="Arial" w:cs="Arial" w:eastAsia="Arial" w:hAnsi="Arial"/>
          <w:b/>
          <w:bCs/>
          <w:sz w:val="24"/>
          <w:szCs w:val="24"/>
          <w:rtl/>
          <w:lang w:bidi="he-IL"/>
        </w:rPr>
        <w:t xml:space="preserve">בס"ד</w:t>
      </w:r>
      <w:r>
        <w:rPr>
          <w:rFonts w:ascii="Arial" w:cs="Arial" w:eastAsia="Arial" w:hAnsi="Arial"/>
          <w:sz w:val="24"/>
          <w:szCs w:val="24"/>
          <w:rtl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  <w:u w:val="single"/>
          <w:rtl/>
          <w:lang w:bidi="he-IL"/>
        </w:rPr>
        <w:t xml:space="preserve">📌לך לך — לא ציווי גיאוגרפי אלא תרופה נגד השגרה / הרב רועי אמגר</w:t>
      </w:r>
    </w:p>
    <w:p>
      <w:pPr>
        <w:bidi/>
        <w:spacing w:after="160"/>
        <w:jc w:val="start"/>
      </w:pPr>
      <w:r>
        <w:rPr>
          <w:rFonts w:ascii="Arial" w:cs="Arial" w:eastAsia="Arial" w:hAnsi="Arial"/>
          <w:sz w:val="20"/>
          <w:szCs w:val="20"/>
          <w:rtl/>
          <w:lang w:bidi="he-IL"/>
        </w:rPr>
        <w:t xml:space="preserve">——————————————————————————————</w:t>
      </w:r>
    </w:p>
    <w:p>
      <w:pPr>
        <w:bidi/>
        <w:spacing w:after="120" w:line="360"/>
        <w:jc w:val="start"/>
      </w:pPr>
      <w:r>
        <w:rPr>
          <w:rFonts w:ascii="Arial" w:cs="Arial" w:eastAsia="Arial" w:hAnsi="Arial"/>
          <w:sz w:val="24"/>
          <w:szCs w:val="24"/>
          <w:rtl/>
          <w:lang w:bidi="he-IL"/>
        </w:rPr>
        <w:t xml:space="preserve">"לֶךְ לְךָ מֵאַרְצְךָ וּמִמּוֹלַדְתְּךָ וּמִבֵּית אָבִיךָ" — הציווי הראשון שבו נפתחת דרכו של אברהם אבינו נשמע כעניין פשוט של מעבר דירה. אבל מתחת לפניו מסתתרות שלוש בקשות קשות מנשוא. ראשית, לעזוב את העבר — ואין דבר קשה לאדם יותר מלנתק את עצמו ממה שהיה, בפרט כשהעבר אינו עבר של כישלון אלא של מעמד ושורשים. שנית, לצעוד אל תוך חוסר ודאות מוחלט: הקב"ה אינו מגלה לאברהם לאן, אלא מלווה אותו צעד אחר צעד. ושלישית, להשתחרר מן ההשפעה של הסביבה — "ארצך ומולדתך ובית אביך" הם כל ההרגלים והאופי שספגנו מן המקום שבו גדלנו.</w:t>
      </w:r>
    </w:p>
    <w:p>
      <w:pPr>
        <w:bidi/>
        <w:spacing w:after="120" w:line="360"/>
        <w:jc w:val="start"/>
      </w:pPr>
      <w:r>
        <w:rPr>
          <w:rFonts w:ascii="Arial" w:cs="Arial" w:eastAsia="Arial" w:hAnsi="Arial"/>
          <w:sz w:val="24"/>
          <w:szCs w:val="24"/>
          <w:rtl/>
          <w:lang w:bidi="he-IL"/>
        </w:rPr>
        <w:t xml:space="preserve">חז"ל המחישו את עומק הניסיון במשל ידוע:</w:t>
      </w:r>
    </w:p>
    <w:p>
      <w:pPr>
        <w:bidi/>
        <w:spacing w:after="200" w:line="360"/>
        <w:ind w:right="360"/>
        <w:jc w:val="start"/>
      </w:pPr>
      <w:r>
        <w:rPr>
          <w:rFonts w:ascii="David" w:cs="David" w:eastAsia="David" w:hAnsi="David"/>
          <w:sz w:val="26"/>
          <w:szCs w:val="26"/>
          <w:rtl/>
          <w:lang w:bidi="he-IL"/>
        </w:rPr>
        <w:t xml:space="preserve">"מָשָׁל לְאֶחָד שֶׁהָיָה עוֹבֵר מִמָּקוֹם לְמָקוֹם, וְרָאָה בִּירָה אַחַת דּוֹלֶקֶת. אָמַר: תֹּאמַר שֶׁהַבִּירָה זוֹ בְּלֹא מַנְהִיג? הֵצִיץ עָלָיו בַּעַל הַבִּירָה, אָמַר לוֹ: אֲנִי הוּא בַּעַל הַבִּירָה." — (מדרש בראשית רבה)</w:t>
      </w:r>
    </w:p>
    <w:p>
      <w:pPr>
        <w:bidi/>
        <w:spacing w:after="120" w:line="360"/>
        <w:jc w:val="start"/>
      </w:pPr>
      <w:r>
        <w:rPr>
          <w:rFonts w:ascii="Arial" w:cs="Arial" w:eastAsia="Arial" w:hAnsi="Arial"/>
          <w:sz w:val="24"/>
          <w:szCs w:val="24"/>
          <w:rtl/>
          <w:lang w:bidi="he-IL"/>
        </w:rPr>
        <w:t xml:space="preserve">הלשון 'בירה דולקת' מביא אוסצייציה לא רק לארמון עם אור, אלא למשהו דולק כמו אש.</w:t>
      </w:r>
    </w:p>
    <w:p>
      <w:pPr>
        <w:bidi/>
        <w:spacing w:after="120" w:line="360"/>
        <w:jc w:val="start"/>
      </w:pPr>
      <w:r>
        <w:rPr>
          <w:rFonts w:ascii="Arial" w:cs="Arial" w:eastAsia="Arial" w:hAnsi="Arial"/>
          <w:sz w:val="24"/>
          <w:szCs w:val="24"/>
          <w:rtl/>
          <w:lang w:bidi="he-IL"/>
        </w:rPr>
        <w:t xml:space="preserve">ה"שפת אמת" חושף כאן רעיון עמוק. האש אינה שריפה חיצונית אלא אש השגרה. הטבע, ההרגל והשורה האפורה של הימים הם הכוח ששורף מתוכנו את החיוּת הפנימית:</w:t>
      </w:r>
    </w:p>
    <w:p>
      <w:pPr>
        <w:bidi/>
        <w:spacing w:after="200" w:line="360"/>
        <w:ind w:right="360"/>
        <w:jc w:val="start"/>
      </w:pPr>
      <w:r>
        <w:rPr>
          <w:rFonts w:ascii="David" w:cs="David" w:eastAsia="David" w:hAnsi="David"/>
          <w:sz w:val="26"/>
          <w:szCs w:val="26"/>
          <w:rtl/>
          <w:lang w:bidi="he-IL"/>
        </w:rPr>
        <w:t xml:space="preserve">"כִּי הַהֶרְגֵּל נַעֲשֶׂה טֶבַע, וְהַטֶּבַע מְשַׁכֵּחַ וּמַסְתִּיר פְּנִימִיּוּת הַחִיּוּת, וַאֲפִילוּ בְּתוֹרָה וּמִצְוֹת אִם נַעֲשִׂין הֶרְגֵּל." — (שפת אמת, פרשת לך לך)</w:t>
      </w:r>
    </w:p>
    <w:p>
      <w:pPr>
        <w:bidi/>
        <w:spacing w:after="120" w:line="360"/>
        <w:jc w:val="start"/>
      </w:pPr>
      <w:r>
        <w:rPr>
          <w:rFonts w:ascii="Arial" w:cs="Arial" w:eastAsia="Arial" w:hAnsi="Arial"/>
          <w:sz w:val="24"/>
          <w:szCs w:val="24"/>
          <w:rtl/>
          <w:lang w:bidi="he-IL"/>
        </w:rPr>
        <w:t xml:space="preserve">לאור זה, "לך לך" אינו ציווי גיאוגרפי אלא ציווי נפשי: אל תהיה "עומד", היה "מהלך". המלאכים נקראים "עומדים" מפני שהם ניצבים מול האור בלא טבע שוחק; אך האדם חי בתוך עולם של טבע מכבה, ועל כן מוטל עליו ללכת ולהתחדש בלי הרף.</w:t>
      </w:r>
    </w:p>
    <w:p>
      <w:pPr>
        <w:bidi/>
        <w:spacing w:after="120" w:line="360"/>
        <w:jc w:val="start"/>
      </w:pPr>
      <w:r>
        <w:rPr>
          <w:rFonts w:ascii="Arial" w:cs="Arial" w:eastAsia="Arial" w:hAnsi="Arial"/>
          <w:sz w:val="24"/>
          <w:szCs w:val="24"/>
          <w:rtl/>
          <w:lang w:bidi="he-IL"/>
        </w:rPr>
        <w:t xml:space="preserve">הסכנה הגדולה אינה דווקא בחטא, שאותו כולנו יודעים לראות בחומרה, אלא בעבודת השם עצמה — ב"מצוות אנשים מלומדה". על כך אמר רבי נחמן דברים חריפים:</w:t>
      </w:r>
    </w:p>
    <w:p>
      <w:pPr>
        <w:bidi/>
        <w:spacing w:after="200" w:line="360"/>
        <w:ind w:right="360"/>
        <w:jc w:val="start"/>
      </w:pPr>
      <w:r>
        <w:rPr>
          <w:rFonts w:ascii="David" w:cs="David" w:eastAsia="David" w:hAnsi="David"/>
          <w:sz w:val="26"/>
          <w:szCs w:val="26"/>
          <w:rtl/>
          <w:lang w:bidi="he-IL"/>
        </w:rPr>
        <w:t xml:space="preserve">"אָסוּר לִהְיוֹת זָקֵן! הֵן חָסִיד זָקֵן, הֵן צַדִּיק זָקֵן — אָסוּר לִהְיוֹת זָקֵן." — (שיחות הר"ן, נ"א)</w:t>
      </w:r>
    </w:p>
    <w:p>
      <w:pPr>
        <w:bidi/>
        <w:spacing w:after="120" w:line="360"/>
        <w:jc w:val="start"/>
      </w:pPr>
      <w:r>
        <w:rPr>
          <w:rFonts w:ascii="Arial" w:cs="Arial" w:eastAsia="Arial" w:hAnsi="Arial"/>
          <w:sz w:val="24"/>
          <w:szCs w:val="24"/>
          <w:rtl/>
          <w:lang w:bidi="he-IL"/>
        </w:rPr>
        <w:t xml:space="preserve">אין הכוונה לשנים אלא לקיבעון: גם הצדיק הגדול עלול להתפלל וללמוד חמישים שנה על "טייס אוטומטי", באותו אופן ובאותה מנגינה, בלי דופק ובלי חיוּת. הרמח"ל מלמד שזו אחת מתחבולות היצר הרע — להשכיח מן האדם שבכל רגע נתון הוא יכול לעצור ולהתחיל מחדש.</w:t>
      </w:r>
    </w:p>
    <w:p>
      <w:pPr>
        <w:bidi/>
        <w:spacing w:after="120" w:line="360"/>
        <w:jc w:val="start"/>
      </w:pPr>
      <w:r>
        <w:rPr>
          <w:rFonts w:ascii="Arial" w:cs="Arial" w:eastAsia="Arial" w:hAnsi="Arial"/>
          <w:sz w:val="24"/>
          <w:szCs w:val="24"/>
          <w:rtl/>
          <w:lang w:bidi="he-IL"/>
        </w:rPr>
        <w:t xml:space="preserve">ומהי התרופה? משל לחוטב עצים שקנה גרזן חדש: ביום הראשון חטב שמונה־עשר עצים, ולאחר שבוע בקושי עשרה. בא בטענה שהגרזן מקולקל, ואמרו לו — הגרזן תקין, רק שכחת להשחיז אותו. כך האדם: בלי השחזה הוא אינו "נשאר במקום", הוא יורד. וההשחזה דורשת עצירה יזומה — להפסיק את המרוץ ולהכניס כוונה חדשה. בזוגיות, לחדש מעשה קטן ומילה טובה לפני שהקשר הופך טכני ומת; במקצוע, להדליק מחדש את מנוע השליחות שבגללו באנו אליו; בתפילה, לכוון הפעם בקשה אחת קצת יותר מאתמול.</w:t>
      </w:r>
    </w:p>
    <w:p>
      <w:pPr>
        <w:bidi/>
        <w:spacing w:after="120" w:line="360"/>
        <w:jc w:val="start"/>
      </w:pPr>
      <w:r>
        <w:rPr>
          <w:rFonts w:ascii="Arial" w:cs="Arial" w:eastAsia="Arial" w:hAnsi="Arial"/>
          <w:sz w:val="24"/>
          <w:szCs w:val="24"/>
          <w:rtl/>
          <w:lang w:bidi="he-IL"/>
        </w:rPr>
        <w:t xml:space="preserve">הקב"ה מחדש בטובו בכל יום תמיד מעשה בראשית — לא מפני שחסר לו דבר, אלא כדי ללמד אותנו שההתחדשות היא התרופה שברא נגד כיבוי החיוּת. זהו המסר שעולה מאברהם אבינו אל כל אחד מאיתנו: אל תיתן לשגרה להפוך אותך לרובוט של מצוות. בחר השבוע תחום אחד — תפילה, זוגיות או לימוד — ועשה בו "עצירה יזומה": הכנס בו כוונה חדשה אחת שלא היתה שם אתמול. זו כל ההליכה של אברהם אבינו, והיא נפתחת לפנינו מחדש בכל בוקר.</w:t>
      </w:r>
    </w:p>
    <w:sectPr>
      <w:bidi/>
      <w:type w:val="continuous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  <w:themeFontLang w:val="he-IL" w:bidi="he-IL"/>
  <w:bidi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lang w:val="he-IL" w:eastAsia="he-IL" w:bidi="he-IL"/>
      </w:rPr>
    </w:rPrDefault>
    <w:pPrDefault>
      <w:pPr>
        <w:bidi/>
        <w:jc w:val="start"/>
      </w:pPr>
    </w:pPrDefault>
  </w:docDefaults>
  <w:style w:type="paragraph" w:default="1" w:styleId="Normal">
    <w:name w:val="Normal"/>
    <w:pPr>
      <w:bidi/>
      <w:jc w:val="start"/>
    </w:pPr>
    <w:rPr>
      <w:rtl/>
      <w:lang w:val="he-IL" w:eastAsia="he-IL" w:bidi="he-IL"/>
    </w:r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2026-11-03T09:47:32.296Z</dcterms:created>
  <dcterms:modified xsi:type="dcterms:W3CDTF">2026-11-03T09:47:32.296Z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